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1/2023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 Wniosków i Petycji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27 października 2023 roku</w:t>
      </w:r>
    </w:p>
    <w:p>
      <w:pPr>
        <w:pStyle w:val="Tre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rozpoczęła i prowadziła Przewodnicząca Komisji Skarg, Wniosków i Petycji Anna Rózga, 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 petycją w sprawie podjęcia tożsamej uchwały.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poprzedniego posiedzenia komisji - bez uwag.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zapoznali się z petycją dot. podjęcia tożsamej uchwały.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Postanowiono o przedstawieniu petycji pozostałym radnym i zasięgnięciu ich </w:t>
      </w:r>
      <w:bookmarkStart w:id="0" w:name="_GoBack"/>
      <w:bookmarkEnd w:id="0"/>
      <w:r>
        <w:rPr>
          <w:rFonts w:ascii="Times New Roman" w:hAnsi="Times New Roman" w:cs="Times New Roman"/>
        </w:rPr>
        <w:t>opinii.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wolnych wniosk</w:t>
      </w:r>
      <w:r>
        <w:rPr>
          <w:rFonts w:ascii="Times New Roman" w:hAnsi="Times New Roman" w:cs="Times New Roman"/>
        </w:rPr>
        <w:t>ów.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ad.6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</w:t>
      </w:r>
      <w:r>
        <w:rPr>
          <w:rFonts w:ascii="Times New Roman" w:hAnsi="Times New Roman" w:cs="Times New Roman"/>
        </w:rPr>
        <w:t>ąca Anna Rózga zamknęła posiedzenie Komisji Skarg, Wniosków i Petycji Rady Gminy Sadki.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Anna Rózga</w:t>
      </w:r>
    </w:p>
    <w:sectPr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7234"/>
    <w:multiLevelType w:val="hybridMultilevel"/>
    <w:tmpl w:val="0B12F090"/>
    <w:styleLink w:val="Zaimportowanystyl1"/>
    <w:lvl w:ilvl="0" w:tplc="812CF76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C4E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06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75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82E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835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E9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EDFC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A96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1F3"/>
    <w:multiLevelType w:val="hybridMultilevel"/>
    <w:tmpl w:val="0B12F09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eastAsia="Arial" w:hAnsi="Arial" w:cs="Arial"/>
      <w:color w:val="000000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Zaimportowanystyl1">
    <w:name w:val="Zaimportowany styl 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35</cp:revision>
  <cp:lastPrinted>2023-12-14T11:36:00Z</cp:lastPrinted>
  <dcterms:created xsi:type="dcterms:W3CDTF">2019-10-29T14:04:00Z</dcterms:created>
  <dcterms:modified xsi:type="dcterms:W3CDTF">2023-12-14T11:37:00Z</dcterms:modified>
</cp:coreProperties>
</file>