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1/2024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 Wniosków i Petycji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18 stycznia 2024 roku</w:t>
      </w:r>
    </w:p>
    <w:p>
      <w:pPr>
        <w:pStyle w:val="Tre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rozpoczęła i prowadziła Przewodnicząca Komisji Skarg, Wniosków i Petycji Anna Rózga. 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Wypracowanie stanowiska dot. petycji.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poprzedniego posiedzenia komisji - bez uwag.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pStyle w:val="Tre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Członkowie Komisji dokonali ponownej analizy. Komisja uważa</w:t>
      </w:r>
      <w:r>
        <w:rPr>
          <w:rFonts w:ascii="Times New Roman" w:hAnsi="Times New Roman" w:cs="Times New Roman"/>
          <w:szCs w:val="20"/>
        </w:rPr>
        <w:t xml:space="preserve">, że petycja jest zasadna, jednakże proponuje jej nie uwzględnić. Zdaniem Komisji powielanie jej treści przez inne samorządy jest bezcelowe, gdyż nie spowoduje to ponownego rozpatrzenia petycji w tej samej sprawie. Nadmienić należy, że </w:t>
      </w:r>
      <w:r>
        <w:rPr>
          <w:rFonts w:ascii="Times New Roman" w:hAnsi="Times New Roman" w:cs="Times New Roman"/>
          <w:szCs w:val="20"/>
        </w:rPr>
        <w:br/>
        <w:t>w przedmiotowej sprawie Komisja nie znajduje nowych faktów i dowodów, co oznacza podstawę do odrzucenia kolejnych petycji składanych przez jednostki samorządu terytorialnego.</w:t>
      </w:r>
    </w:p>
    <w:p>
      <w:pPr>
        <w:pStyle w:val="Tre"/>
        <w:jc w:val="both"/>
        <w:rPr>
          <w:rFonts w:ascii="Times New Roman" w:hAnsi="Times New Roman" w:cs="Times New Roman"/>
          <w:szCs w:val="20"/>
        </w:rPr>
      </w:pPr>
    </w:p>
    <w:p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>
        <w:rPr>
          <w:rFonts w:ascii="Times New Roman" w:hAnsi="Times New Roman" w:cs="Times New Roman"/>
          <w:shd w:val="clear" w:color="auto" w:fill="FFFFFF"/>
          <w:lang w:bidi="pl-PL"/>
        </w:rPr>
        <w:t>Swoje stanowisko Komisja wyraziła w formie uchwały.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Przewodnicząca Komisji Anna Rózga poddała pod głosowanie projekt uchwały </w:t>
      </w:r>
      <w:r>
        <w:rPr>
          <w:rFonts w:ascii="Times New Roman" w:hAnsi="Times New Roman" w:cs="Times New Roman"/>
          <w:bCs/>
        </w:rPr>
        <w:t xml:space="preserve">w sprawie wyrażenia opinii dotyczącej petycji </w:t>
      </w:r>
      <w:r>
        <w:rPr>
          <w:rFonts w:ascii="Times New Roman" w:hAnsi="Times New Roman" w:cs="Times New Roman"/>
        </w:rPr>
        <w:t xml:space="preserve">o podjęcie tożsamej uchwały jaką podjęła Rada Miejska w Toszku w sprawie wystąpienia do Sejmu Rzeczypospolitej Polskiej z petycją o podjęcie inicjatywy ustawodawczej w zakresie nowelizacji ustaw: kodeksu postępowania cywilnego, kodeksu pracy, ustawy o postępowaniu egzekucyjnym </w:t>
      </w:r>
      <w:r>
        <w:rPr>
          <w:rFonts w:ascii="Times New Roman" w:hAnsi="Times New Roman" w:cs="Times New Roman"/>
        </w:rPr>
        <w:br/>
        <w:t>w administracji i innych powiązanych tematycznie.</w:t>
      </w:r>
    </w:p>
    <w:p>
      <w:pPr>
        <w:rPr>
          <w:rFonts w:ascii="Times New Roman" w:hAnsi="Times New Roman" w:cs="Times New Roman"/>
          <w:bCs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głosowania: 3 głosy za, 0 głosów przeciwnych, 0 głosów wstrzymujących się.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</w:t>
      </w:r>
      <w:r>
        <w:rPr>
          <w:rFonts w:ascii="Times New Roman" w:hAnsi="Times New Roman" w:cs="Times New Roman"/>
          <w:u w:val="single"/>
        </w:rPr>
        <w:t>Uchwała Nr 1/2024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została przyjęta (uchwała stanowi załącznik nin. do protokołu).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wolnych wniosk</w:t>
      </w:r>
      <w:r>
        <w:rPr>
          <w:rFonts w:ascii="Times New Roman" w:hAnsi="Times New Roman" w:cs="Times New Roman"/>
        </w:rPr>
        <w:t>ów.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ad.6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Przewodnicz</w:t>
      </w:r>
      <w:r>
        <w:rPr>
          <w:rFonts w:ascii="Times New Roman" w:hAnsi="Times New Roman" w:cs="Times New Roman"/>
        </w:rPr>
        <w:t>ąca Komisji Anna Rózga zamknęła posiedzenie Komisji Skarg, Wniosków i Petycji Rady Gminy Sadki.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Anna Rózga</w:t>
      </w:r>
    </w:p>
    <w:sectPr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7234"/>
    <w:multiLevelType w:val="hybridMultilevel"/>
    <w:tmpl w:val="0B12F090"/>
    <w:styleLink w:val="Zaimportowanystyl1"/>
    <w:lvl w:ilvl="0" w:tplc="812CF76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C4E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06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75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82E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835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E9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EDFC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A96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1F3"/>
    <w:multiLevelType w:val="hybridMultilevel"/>
    <w:tmpl w:val="0B12F09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eastAsia="Arial" w:hAnsi="Arial" w:cs="Arial"/>
      <w:color w:val="000000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Zaimportowanystyl1">
    <w:name w:val="Zaimportowany styl 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37</cp:revision>
  <cp:lastPrinted>2024-01-24T12:51:00Z</cp:lastPrinted>
  <dcterms:created xsi:type="dcterms:W3CDTF">2019-10-29T14:04:00Z</dcterms:created>
  <dcterms:modified xsi:type="dcterms:W3CDTF">2024-01-24T12:55:00Z</dcterms:modified>
</cp:coreProperties>
</file>