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Sadki, dnia 3 kwietnia 2026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RO.0012.2.5.2026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spacing w:line="276" w:lineRule="auto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color w:val="000000" w:themeColor="text1"/>
          <w:sz w:val="22"/>
          <w:szCs w:val="22"/>
        </w:rPr>
        <w:t xml:space="preserve">§ 85 ust. 4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Skarg, Wniosków i Petycji na dzień</w:t>
      </w:r>
      <w:r>
        <w:rPr>
          <w:b/>
          <w:sz w:val="22"/>
          <w:szCs w:val="22"/>
        </w:rPr>
        <w:t xml:space="preserve"> 10 kwietnia 2026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w sali nr 17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- Kulturalnego w Sadkach przy ul. Strażackiej 11.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Wypracowanie stanowiska dot. wniosku o ponaglenie na bezczynność organu administracji.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Wypracowanie stanowiska dot. skargi na działalność Sołtysa sołectwa Samostrzel.</w:t>
      </w:r>
    </w:p>
    <w:p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Marek Borzych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57</cp:revision>
  <cp:lastPrinted>2026-04-03T07:43:00Z</cp:lastPrinted>
  <dcterms:created xsi:type="dcterms:W3CDTF">2018-12-06T07:21:00Z</dcterms:created>
  <dcterms:modified xsi:type="dcterms:W3CDTF">2026-04-03T07:50:00Z</dcterms:modified>
</cp:coreProperties>
</file>